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AA27F" w14:textId="77777777" w:rsidR="000B449A" w:rsidRPr="000B449A" w:rsidRDefault="000B449A" w:rsidP="000B449A">
      <w:pPr>
        <w:spacing w:before="60" w:after="60" w:line="240" w:lineRule="auto"/>
        <w:jc w:val="center"/>
        <w:rPr>
          <w:rFonts w:asciiTheme="majorHAnsi" w:eastAsia="Times New Roman" w:hAnsiTheme="majorHAnsi" w:cstheme="majorHAnsi"/>
          <w:b/>
          <w:bCs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000000" w:themeColor="text1"/>
          <w:sz w:val="20"/>
          <w:szCs w:val="20"/>
          <w:lang w:eastAsia="pl-PL"/>
        </w:rPr>
        <w:t>Polityka prywatności</w:t>
      </w:r>
    </w:p>
    <w:p w14:paraId="5BF8BA8D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br/>
      </w: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1. Informacje dotyczące przetwarzania danych osobowych:</w:t>
      </w:r>
    </w:p>
    <w:p w14:paraId="701999F2" w14:textId="77777777" w:rsidR="000B449A" w:rsidRPr="000B449A" w:rsidRDefault="000B449A" w:rsidP="000B449A">
      <w:pPr>
        <w:spacing w:after="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Administratorem danych osobowych jest Dziesiątka Finanse spółka z ograniczoną odpowiedzialnością z siedzibą w Warszawie, adres: ul. Królewska 18, 00-103 Warszawa, zarejestrowana w Sądzie Rejonowym dla m.st. Warszawy w Warszawie, XII Wydział Gospodarczy Krajowego Rejestru Sądowego, pod numerem KRS 0000069320, NIP: 7842426890, REGON: 300976329, kapitał zakładowy (kapitał wpłacony) 10 100 000,00 zł, infolinia: 669 555 111, e-mail: </w:t>
      </w:r>
      <w:hyperlink r:id="rId8" w:history="1">
        <w:r w:rsidRPr="000B449A">
          <w:rPr>
            <w:rFonts w:asciiTheme="majorHAnsi" w:eastAsia="Times New Roman" w:hAnsiTheme="majorHAnsi" w:cstheme="majorHAnsi"/>
            <w:color w:val="007BFF"/>
            <w:sz w:val="20"/>
            <w:szCs w:val="20"/>
            <w:u w:val="single"/>
            <w:lang w:eastAsia="pl-PL"/>
          </w:rPr>
          <w:t>biuro@dziesiatka.pl</w:t>
        </w:r>
      </w:hyperlink>
      <w:r w:rsidRPr="000B449A">
        <w:rPr>
          <w:rFonts w:asciiTheme="majorHAnsi" w:eastAsia="Times New Roman" w:hAnsiTheme="majorHAnsi" w:cstheme="majorHAnsi"/>
          <w:color w:val="007BFF"/>
          <w:sz w:val="20"/>
          <w:szCs w:val="20"/>
          <w:lang w:eastAsia="pl-PL"/>
        </w:rPr>
        <w:t xml:space="preserve"> </w:t>
      </w: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lub </w:t>
      </w:r>
      <w:r w:rsidRPr="000B449A">
        <w:rPr>
          <w:rFonts w:asciiTheme="majorHAnsi" w:eastAsia="Times New Roman" w:hAnsiTheme="majorHAnsi" w:cstheme="majorHAnsi"/>
          <w:color w:val="007BFF"/>
          <w:sz w:val="20"/>
          <w:szCs w:val="20"/>
          <w:u w:val="single"/>
          <w:lang w:eastAsia="pl-PL"/>
        </w:rPr>
        <w:t>kontakt@10online.pl</w:t>
      </w: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, zwana dalej „Spółką” lub „Administratorem”.</w:t>
      </w:r>
    </w:p>
    <w:p w14:paraId="2133DA3E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5D4843C7" w14:textId="77777777" w:rsidR="000B449A" w:rsidRPr="000B449A" w:rsidRDefault="000B449A" w:rsidP="000B449A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Administrator wyznaczył inspektora ochrony danych, z którym można skontaktować się listownie na adres ul. Królewska 18, 00-103 Warszawa oraz elektronicznie pod adresem e-mail: </w:t>
      </w:r>
      <w:hyperlink r:id="rId9" w:history="1">
        <w:r w:rsidRPr="000B449A">
          <w:rPr>
            <w:rStyle w:val="Hipercze"/>
            <w:rFonts w:asciiTheme="majorHAnsi" w:eastAsia="Times New Roman" w:hAnsiTheme="majorHAnsi" w:cstheme="majorHAnsi"/>
            <w:sz w:val="20"/>
            <w:szCs w:val="20"/>
            <w:lang w:eastAsia="pl-PL"/>
          </w:rPr>
          <w:t>iod@dziesiatka.pl</w:t>
        </w:r>
      </w:hyperlink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</w:p>
    <w:p w14:paraId="385D1F88" w14:textId="77777777" w:rsidR="000B449A" w:rsidRPr="000B449A" w:rsidRDefault="000B449A" w:rsidP="000B449A">
      <w:pPr>
        <w:spacing w:after="0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678F7002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Dane osobowe przetwarzane są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 dalej: </w:t>
      </w:r>
      <w:r w:rsidRPr="000B449A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RODO</w:t>
      </w: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.</w:t>
      </w:r>
    </w:p>
    <w:p w14:paraId="04C8E122" w14:textId="77777777" w:rsidR="000B449A" w:rsidRPr="000B449A" w:rsidRDefault="000B449A" w:rsidP="000B449A">
      <w:pPr>
        <w:spacing w:before="60" w:after="60" w:line="240" w:lineRule="auto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2971981D" w14:textId="77777777" w:rsidR="000B449A" w:rsidRPr="000B449A" w:rsidRDefault="000B449A" w:rsidP="000B449A">
      <w:pPr>
        <w:spacing w:before="60" w:after="60" w:line="240" w:lineRule="auto"/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2. Cele i podstawy prawne przetwarzania danych</w:t>
      </w:r>
    </w:p>
    <w:p w14:paraId="05E5644F" w14:textId="77777777" w:rsidR="000B449A" w:rsidRPr="000B449A" w:rsidRDefault="000B449A" w:rsidP="000B449A">
      <w:pPr>
        <w:spacing w:before="60" w:after="60" w:line="240" w:lineRule="auto"/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</w:pPr>
    </w:p>
    <w:p w14:paraId="4C45E106" w14:textId="77777777" w:rsidR="000B449A" w:rsidRPr="000B449A" w:rsidRDefault="000B449A" w:rsidP="000B449A">
      <w:pPr>
        <w:spacing w:after="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Administrator przetwarza dane osobowe wyłączenie w zakresie niezbędnym do realizacji ściśle określonego celu w oparciu o odpowiednie podstawy prawne. Informujemy, iż Administrator </w:t>
      </w: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stosuje zautomatyzowane podejmowanie decyzji w celu zawarcia i wykonania umowy na podstawie wniosku złożonego przez użytkownika serwisu.</w:t>
      </w:r>
    </w:p>
    <w:p w14:paraId="2FD6711B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50BDEF0D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Dane osobowe użytkowników serwisu przetwarzane są w celu:</w:t>
      </w:r>
    </w:p>
    <w:p w14:paraId="2188A230" w14:textId="77777777" w:rsidR="000B449A" w:rsidRPr="000B449A" w:rsidRDefault="000B449A" w:rsidP="000B449A">
      <w:pPr>
        <w:numPr>
          <w:ilvl w:val="0"/>
          <w:numId w:val="5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udzielenia odpowiedzi na pytania zadawane za pośrednictwem formularza lub adresów kontaktowych zamieszczonych w serwisie internetowym w domenie 10online.pl na podstawie prawnie uzasadnianego interesu administratora (art. 6 ust. 1 lit. f RODO) polegającego na budowaniu i rozwijaniu </w:t>
      </w: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pozytywnych relacji z Klientem opartych na rzetelności i lojalności,  </w:t>
      </w:r>
    </w:p>
    <w:p w14:paraId="11C2C476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nawiązania i utrzymania kontaktu w związku z przesłanymi na adres </w:t>
      </w:r>
      <w:hyperlink r:id="rId10" w:history="1">
        <w:r w:rsidRPr="000B449A">
          <w:rPr>
            <w:rFonts w:asciiTheme="majorHAnsi" w:eastAsia="Times New Roman" w:hAnsiTheme="majorHAnsi" w:cstheme="majorHAnsi"/>
            <w:color w:val="0000FF"/>
            <w:sz w:val="20"/>
            <w:szCs w:val="20"/>
            <w:u w:val="single"/>
            <w:lang w:eastAsia="pl-PL"/>
          </w:rPr>
          <w:t>przedstawiciel@dziesiatka.pl</w:t>
        </w:r>
      </w:hyperlink>
      <w:r w:rsidRPr="000B449A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dokumentami aplikacyjnymi na wybrane stanowisko (art. 6 ust. 1 lit. f RODO), </w:t>
      </w:r>
    </w:p>
    <w:p w14:paraId="77F79F1B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przeprowadzenia i rozstrzygnięcia procesu rekrutacji na aplikowane stanowisko (art. 6 ust. 1 lit. a i b RODO), </w:t>
      </w:r>
    </w:p>
    <w:p w14:paraId="719FD082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uwzględnienia dokumentów aplikacyjnych w przyszłych procesach rekrutacji na podstawie wyrażonej przez Ciebie zgody (art. 6 ust. 1 lit. a RODO), </w:t>
      </w:r>
    </w:p>
    <w:p w14:paraId="1B0EF541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niezbędnych do realizacji usług oferowanych przez Administratora, w przypadku zawarcia umowy (art. 6 ust. 1 lit. b RODO), </w:t>
      </w:r>
    </w:p>
    <w:p w14:paraId="27E372FD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weryfikacji tożsamości w przypadku zawarcia umowy (art. 6 ust. 1 lit. b RODO),</w:t>
      </w:r>
    </w:p>
    <w:p w14:paraId="5BBF2C79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przeprowadzenia analizy zdolności kredytowej (art. 6 ust. 1 lit. b RODO), </w:t>
      </w:r>
    </w:p>
    <w:p w14:paraId="501A129F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przeciwdziałania przestępstwom, w tym oszustwom i praniu brudnych pieniędzy (art. 6 ust. 1 lit. c RODO),</w:t>
      </w:r>
    </w:p>
    <w:p w14:paraId="1349307C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archiwalnych dla zabezpieczenia informacji na wypadek ewentualnego ustalenia, dochodzenia lub obrony przez roszczeniami (art. 6 ust. 1 lit. f RODO),</w:t>
      </w:r>
    </w:p>
    <w:p w14:paraId="79D5CCE6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przesyłanie treści marketingowych za pośrednictwem wiadomości elektronicznych e-mail i/lub powiadomień telefonicznych (SMS/MMS), na podstawie dobrowolnej zgody (art. 6 ust. 1 lit. a RODO),</w:t>
      </w:r>
    </w:p>
    <w:p w14:paraId="1A229B2D" w14:textId="77777777" w:rsidR="000B449A" w:rsidRPr="000B449A" w:rsidRDefault="000B449A" w:rsidP="000B449A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dostosowania i rozwoju funkcjonalności strony, w tym jej struktury i zawartości do potrzeb Użytkowników, tworzenia zagregowanych statystyk oraz zachowania bezpieczeństwa i jakości świadczonych przez serwis usług– w oparciu o prawnie uzasadniony interes administratora (art. 6 ust. 1 lit. f RODO). </w:t>
      </w:r>
    </w:p>
    <w:p w14:paraId="3CA7DE7F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lastRenderedPageBreak/>
        <w:br/>
      </w: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 xml:space="preserve">3. Okres przetwarzania danych </w:t>
      </w:r>
    </w:p>
    <w:p w14:paraId="0F0F7D1D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Dane osobowe przetwarzane są przez czas niezbędny do realizacji celu, dla którego zostały zebrane, w tym w przypadku:</w:t>
      </w:r>
    </w:p>
    <w:p w14:paraId="603F863E" w14:textId="77777777" w:rsidR="000B449A" w:rsidRPr="000B449A" w:rsidRDefault="000B449A" w:rsidP="000B449A">
      <w:pPr>
        <w:numPr>
          <w:ilvl w:val="0"/>
          <w:numId w:val="6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danych zebranych na potrzeby zawarcia umowy i przyznania kredytu - przez okres niezbędny do wywiązania się z obowiązków prawnych spoczywających na Administratorze, w związku z udzielanym kredytem konsumenckim, jednak nie dłużej niż 6 lat od udzielenie kredytu,</w:t>
      </w:r>
    </w:p>
    <w:p w14:paraId="000DE805" w14:textId="77777777" w:rsidR="000B449A" w:rsidRPr="000B449A" w:rsidRDefault="000B449A" w:rsidP="000B449A">
      <w:pPr>
        <w:numPr>
          <w:ilvl w:val="0"/>
          <w:numId w:val="6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danych pozyskanych poprzez formularz kontaktowy i inne adresy wskazane do komunikacji - do momentu wniesienia sprzeciwu wobec przetwarzania, jednak nie dłużej niż 6 miesięcy liczone od dnia ostatniego kontaktu. </w:t>
      </w:r>
    </w:p>
    <w:p w14:paraId="308AC615" w14:textId="77777777" w:rsidR="000B449A" w:rsidRPr="000B449A" w:rsidRDefault="000B449A" w:rsidP="000B449A">
      <w:pPr>
        <w:numPr>
          <w:ilvl w:val="0"/>
          <w:numId w:val="6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danych</w:t>
      </w: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zbieranych na potrzeby przesyłania treści marketingowych - do czasu wycofania zgody z zastrzeżeniem, że to wycofanie nie wpływa na zgodność z prawem przetwarzania, którego dokonano na podstawie tej zgody przed jej odwołanie</w:t>
      </w:r>
    </w:p>
    <w:p w14:paraId="56DDEB4C" w14:textId="77777777" w:rsidR="000B449A" w:rsidRPr="000B449A" w:rsidRDefault="000B449A" w:rsidP="000B449A">
      <w:pPr>
        <w:numPr>
          <w:ilvl w:val="0"/>
          <w:numId w:val="6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>danych zebranych na potrzeby procesu rekrutacji - przez czas trwania rekrutacji, a po jej zakończeniu przez 6 miesiące. W przypadku wyrażenia zgody przez Kandydata na pozostawienie danych na potrzeby przyszłych rekrutacji będą one przechowywane do momentu wycofania zgody, jednak nie dłużej niż 12 miesięcy od daty jej udzielenia.</w:t>
      </w:r>
    </w:p>
    <w:p w14:paraId="1A9897A8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6AFEC1B9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4.</w:t>
      </w: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 </w:t>
      </w: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Odbiorcy danych</w:t>
      </w: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 </w:t>
      </w:r>
    </w:p>
    <w:p w14:paraId="4A5AD12A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Otrzymane dane osobowe mogą być udostępniane przez Administratora:</w:t>
      </w:r>
    </w:p>
    <w:p w14:paraId="191714F2" w14:textId="77777777" w:rsidR="000B449A" w:rsidRPr="000B449A" w:rsidRDefault="000B449A" w:rsidP="000B449A">
      <w:pPr>
        <w:numPr>
          <w:ilvl w:val="0"/>
          <w:numId w:val="7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podmiotom przetwarzającym dane na zlecenie administratora, w granicach określonych przez administratora na mocy odpowiednich umów powierzenia,</w:t>
      </w:r>
    </w:p>
    <w:p w14:paraId="258B55D7" w14:textId="77777777" w:rsidR="000B449A" w:rsidRPr="000B449A" w:rsidRDefault="000B449A" w:rsidP="000B449A">
      <w:pPr>
        <w:numPr>
          <w:ilvl w:val="0"/>
          <w:numId w:val="7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podmiotom uprawnionym do uzyskania danych na podstawie obowiązującego prawa,</w:t>
      </w:r>
    </w:p>
    <w:p w14:paraId="6D68EF58" w14:textId="77777777" w:rsidR="000B449A" w:rsidRPr="000B449A" w:rsidRDefault="000B449A" w:rsidP="000B449A">
      <w:pPr>
        <w:numPr>
          <w:ilvl w:val="0"/>
          <w:numId w:val="7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instytucjom, o których mowa w art. 105 ust. 4 ustawy Prawo bankowe,</w:t>
      </w:r>
    </w:p>
    <w:p w14:paraId="6DB305CB" w14:textId="77777777" w:rsidR="000B449A" w:rsidRPr="000B449A" w:rsidRDefault="000B449A" w:rsidP="000B449A">
      <w:pPr>
        <w:numPr>
          <w:ilvl w:val="0"/>
          <w:numId w:val="7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biurom informacji gospodarczej, działającym na podstawie ustawy o udostępnianiu informacji gospodarczych i wymianie danych gospodarczych, na podstawie przepisów ustawy,</w:t>
      </w:r>
    </w:p>
    <w:p w14:paraId="07F21C49" w14:textId="77777777" w:rsidR="000B449A" w:rsidRPr="000B449A" w:rsidRDefault="000B449A" w:rsidP="000B449A">
      <w:pPr>
        <w:numPr>
          <w:ilvl w:val="0"/>
          <w:numId w:val="7"/>
        </w:numPr>
        <w:spacing w:before="60" w:after="60" w:line="240" w:lineRule="auto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podmiotom wchodzącym w skład Grupy 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Credit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 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Royal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®, do których należy „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Credit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 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Royal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®” sp. z o.o. z siedzibą w Warszawie przy ul. Królewskiej 18, 00-103 Warszawa, „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Credit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 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Royal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 Finance” sp. z o.o. z siedzibą w Warszawie przy ul. Królewskiej 18, 00-103 Warszawa oraz „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Lucky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 Star </w:t>
      </w:r>
      <w:proofErr w:type="spellStart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Investments</w:t>
      </w:r>
      <w:proofErr w:type="spellEnd"/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” S.A. z siedzibą w Warszawie przy ul. Królewskiej 18, 00-103 Warszawa.</w:t>
      </w:r>
    </w:p>
    <w:p w14:paraId="6E33C068" w14:textId="77777777" w:rsidR="000B449A" w:rsidRPr="000B449A" w:rsidRDefault="000B449A" w:rsidP="000B449A">
      <w:pPr>
        <w:spacing w:before="60" w:after="60" w:line="240" w:lineRule="auto"/>
        <w:ind w:left="720"/>
        <w:contextualSpacing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52695635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Dane osobowe mogą zostać przekazane do państwa trzeciego (poza Europejski Obszar Gospodarczy) oraz organizacji międzynarodowych.</w:t>
      </w:r>
    </w:p>
    <w:p w14:paraId="2E1D15FB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2CE11926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5. Prawa osoby, której dane dotyczą</w:t>
      </w:r>
    </w:p>
    <w:p w14:paraId="528E8DE9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Każda osoba, której dane osobowe są przetwarzane przez Administratora ma prawo:</w:t>
      </w:r>
    </w:p>
    <w:p w14:paraId="41E70BF2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dostępu do treści swoich danych osobowych, </w:t>
      </w:r>
    </w:p>
    <w:p w14:paraId="57C216C2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sprostowania danych, </w:t>
      </w:r>
    </w:p>
    <w:p w14:paraId="4BEFF421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usunięcia danych, </w:t>
      </w:r>
    </w:p>
    <w:p w14:paraId="4F758628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ograniczenia przetwarzania danych, </w:t>
      </w:r>
    </w:p>
    <w:p w14:paraId="6AA88325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przenoszenia danych, </w:t>
      </w:r>
    </w:p>
    <w:p w14:paraId="5DBC21BE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wniesienia sprzeciwu wobec przetwarzania odbywającego się na podstawie usprawiedliwionego interesu administratora, </w:t>
      </w:r>
    </w:p>
    <w:p w14:paraId="1567672B" w14:textId="77777777" w:rsidR="000B449A" w:rsidRPr="000B449A" w:rsidRDefault="000B449A" w:rsidP="000B449A">
      <w:pPr>
        <w:numPr>
          <w:ilvl w:val="0"/>
          <w:numId w:val="8"/>
        </w:num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do wycofania zgody w dowolnym momencie bez wpływu na zgodność z prawem przetwarzania, którego dokonano na podstawie tej zgody przed jej cofnięciem. </w:t>
      </w:r>
    </w:p>
    <w:p w14:paraId="3AED9ABD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Osobom, których dane przetwarza Administrator przysługuje również prawo do wniesienia skargi do Prezesa Urzędu Ochrony Danych Osobowych, gdy uzna, że przetwarzanie narusza przepisy ogólnego rozporządzania o ochronie danych. </w:t>
      </w:r>
    </w:p>
    <w:p w14:paraId="48560E64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872E1FB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6. Informacje o wymogu podania danych osobowych</w:t>
      </w: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> </w:t>
      </w:r>
    </w:p>
    <w:p w14:paraId="5A5410E1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Podanie danych osobowych jest niezbędne do zawarcia i realizacji umowy pożyczki, w tym do oceny zdolności kredytowej pożyczkobiorcy. Konsekwencją niepodania danych jest brak możliwości zawarcia umowy pożyczki. </w:t>
      </w:r>
    </w:p>
    <w:p w14:paraId="66187881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53D3D4DD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  <w:t xml:space="preserve">Podanie danych osobowych w celach innych niż zawarcie i realizacja umowy pożyczki, o których mowa w rozdziale 2 Cele i podstawy prawne przetwarzania danych jest dobrowolne, jednak ich niepodanie może uniemożliwić w zależności od konkretnego przypadku zawarcie umowy, korzystanie z wybranych usług i funkcjonalności serwisu 10online.pl  lub otrzymywania treści marketingowych. </w:t>
      </w:r>
    </w:p>
    <w:p w14:paraId="009A00A0" w14:textId="77777777" w:rsidR="000B449A" w:rsidRPr="000B449A" w:rsidRDefault="000B449A" w:rsidP="000B449A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color w:val="212529"/>
          <w:sz w:val="20"/>
          <w:szCs w:val="20"/>
          <w:lang w:eastAsia="pl-PL"/>
        </w:rPr>
      </w:pPr>
    </w:p>
    <w:p w14:paraId="2F16A18A" w14:textId="77777777" w:rsidR="000B449A" w:rsidRPr="000B449A" w:rsidRDefault="000B449A" w:rsidP="000B449A">
      <w:pPr>
        <w:spacing w:before="60" w:after="60" w:line="240" w:lineRule="auto"/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 xml:space="preserve">7. Polityka </w:t>
      </w:r>
      <w:proofErr w:type="spellStart"/>
      <w:r w:rsidRPr="000B449A">
        <w:rPr>
          <w:rFonts w:asciiTheme="majorHAnsi" w:eastAsia="Times New Roman" w:hAnsiTheme="majorHAnsi" w:cstheme="majorHAnsi"/>
          <w:b/>
          <w:bCs/>
          <w:color w:val="212529"/>
          <w:sz w:val="20"/>
          <w:szCs w:val="20"/>
          <w:lang w:eastAsia="pl-PL"/>
        </w:rPr>
        <w:t>cookies</w:t>
      </w:r>
      <w:proofErr w:type="spellEnd"/>
    </w:p>
    <w:p w14:paraId="123FF371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Serwis 10online.pl korzysta z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.</w:t>
      </w:r>
    </w:p>
    <w:p w14:paraId="3A6AFFE5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Pliki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(tzw. „ciasteczka”) stanowią dane informatyczne, w szczególności pliki tekstowe, które przechowywane są w urządzeniu końcowym Użytkownika Serwisu i przeznaczone są do korzystania ze stron internetowych Serwisu.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zazwyczaj zawierają nazwę strony internetowej, z której pochodzą, czas przechowywania ich na urządzeniu końcowym oraz unikalny numer.</w:t>
      </w:r>
    </w:p>
    <w:p w14:paraId="35E7BB1D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Podmiotem zamieszczającym na urządzeniu końcowym Użytkownika Serwisu pliki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oraz uzyskującym do nich dostęp jest operator Serwisu.</w:t>
      </w:r>
    </w:p>
    <w:p w14:paraId="16020B46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Pliki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wykorzystywane są w następujących celach:</w:t>
      </w:r>
    </w:p>
    <w:p w14:paraId="677737B2" w14:textId="77777777" w:rsidR="000B449A" w:rsidRPr="000B449A" w:rsidRDefault="000B449A" w:rsidP="000B449A">
      <w:pPr>
        <w:numPr>
          <w:ilvl w:val="1"/>
          <w:numId w:val="9"/>
        </w:num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tworzenia statystyk, które pomagają zrozumieć, w jaki sposób Użytkownicy Serwisu korzystają ze stron internetowych, co umożliwia ulepszanie ich struktury i zawartości,</w:t>
      </w:r>
    </w:p>
    <w:p w14:paraId="63A09B80" w14:textId="77777777" w:rsidR="000B449A" w:rsidRPr="000B449A" w:rsidRDefault="000B449A" w:rsidP="000B449A">
      <w:pPr>
        <w:numPr>
          <w:ilvl w:val="1"/>
          <w:numId w:val="9"/>
        </w:num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utrzymanie sesji Użytkownika Serwisu (po zalogowaniu), dzięki której Użytkownik nie musi na każdej podstronie Serwisu ponownie wpisywać loginu i hasła;</w:t>
      </w:r>
    </w:p>
    <w:p w14:paraId="237A76A9" w14:textId="77777777" w:rsidR="000B449A" w:rsidRPr="000B449A" w:rsidRDefault="000B449A" w:rsidP="000B449A">
      <w:pPr>
        <w:numPr>
          <w:ilvl w:val="1"/>
          <w:numId w:val="9"/>
        </w:num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określania profilu użytkownika w celu wyświetlania mu dopasowanych materiałów w sieciach reklamowych, w szczególności sieci Google.</w:t>
      </w:r>
    </w:p>
    <w:p w14:paraId="2C270038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W ramach Serwisu stosowane są dwa zasadnicze rodzaje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: „sesyjne” (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session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) oraz „stałe” (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persistent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).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„sesyjne” są plikami tymczasowymi, które przechowywane są w urządzeniu końcowym Użytkownika do czasu wylogowania, opuszczenia strony internetowej lub wyłączenia oprogramowania (przeglądarki internetowej). „Stałe” pliki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przechowywane są w urządzeniu końcowym Użytkownika przez czas określony w parametrach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lub do czasu ich usunięcia przez Użytkownika.</w:t>
      </w:r>
    </w:p>
    <w:p w14:paraId="6F40417A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Oprogramowanie do przeglądania stron internetowych (przeglądarka internetowa) zazwyczaj domyślnie dopuszcza przechowywanie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w urządzeniu końcowym Użytkownika. Użytkownicy Serwisu mogą dokonać zmiany ustawień w tym zakresie. Przeglądarka internetowa umożliwia usunięcie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. Możliwe jest także automatyczne blokowanie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Szczegółowe informacje na ten temat zawiera pomoc lub dokumentacja przeglądarki internetowej.</w:t>
      </w:r>
    </w:p>
    <w:p w14:paraId="0F1CDD0F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Ograniczenia stosowania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mogą wpłynąć na niektóre funkcjonalności dostępne na stronach internetowych Serwisu.</w:t>
      </w:r>
    </w:p>
    <w:p w14:paraId="6159461D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Pliki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zamieszczane w urządzeniu końcowym Użytkownika Serwisu i wykorzystywane mogą być również przez współpracujących z operatorem Serwisu reklamodawców oraz partnerów.</w:t>
      </w:r>
    </w:p>
    <w:p w14:paraId="38E3B32F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Jeśli użytkownik nie chce otrzymywać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, może zmienić ustawienia przeglądarki. Zastrzegamy, że wyłączenie obsługi plików </w:t>
      </w:r>
      <w:proofErr w:type="spellStart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>cookies</w:t>
      </w:r>
      <w:proofErr w:type="spellEnd"/>
      <w:r w:rsidRPr="000B449A"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  <w:t xml:space="preserve"> niezbędnych dla procesów uwierzytelniania, bezpieczeństwa, utrzymania preferencji użytkownika może utrudnić, a w skrajnych przypadkach może uniemożliwić korzystanie ze stron www.</w:t>
      </w:r>
    </w:p>
    <w:p w14:paraId="125DD417" w14:textId="77777777" w:rsidR="000B449A" w:rsidRPr="000B449A" w:rsidRDefault="000B449A" w:rsidP="000B449A">
      <w:pPr>
        <w:shd w:val="clear" w:color="auto" w:fill="FFFFFF"/>
        <w:spacing w:before="60" w:after="6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 w:themeColor="text1"/>
          <w:sz w:val="20"/>
          <w:szCs w:val="20"/>
          <w:lang w:eastAsia="pl-PL"/>
        </w:rPr>
      </w:pPr>
    </w:p>
    <w:p w14:paraId="349E2ACE" w14:textId="77777777" w:rsidR="000B449A" w:rsidRPr="000B449A" w:rsidRDefault="000B449A" w:rsidP="000B449A">
      <w:pPr>
        <w:spacing w:before="60" w:after="6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32DD005F" w14:textId="77777777" w:rsidR="000B449A" w:rsidRPr="000B449A" w:rsidRDefault="000B449A" w:rsidP="000B449A">
      <w:pPr>
        <w:rPr>
          <w:rFonts w:asciiTheme="majorHAnsi" w:hAnsiTheme="majorHAnsi" w:cstheme="majorHAnsi"/>
          <w:sz w:val="20"/>
          <w:szCs w:val="20"/>
        </w:rPr>
      </w:pPr>
    </w:p>
    <w:p w14:paraId="3E2E736A" w14:textId="77777777" w:rsidR="007E3AA6" w:rsidRPr="000B449A" w:rsidRDefault="00C80763" w:rsidP="000B449A">
      <w:pPr>
        <w:rPr>
          <w:rFonts w:asciiTheme="majorHAnsi" w:hAnsiTheme="majorHAnsi" w:cstheme="majorHAnsi"/>
          <w:sz w:val="20"/>
          <w:szCs w:val="20"/>
        </w:rPr>
      </w:pPr>
    </w:p>
    <w:sectPr w:rsidR="007E3AA6" w:rsidRPr="000B449A" w:rsidSect="002D237F">
      <w:headerReference w:type="default" r:id="rId11"/>
      <w:footerReference w:type="default" r:id="rId12"/>
      <w:pgSz w:w="11906" w:h="16838"/>
      <w:pgMar w:top="1417" w:right="1417" w:bottom="1417" w:left="1417" w:header="1191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9D83A" w14:textId="77777777" w:rsidR="00C80763" w:rsidRDefault="00C80763" w:rsidP="00E309D0">
      <w:pPr>
        <w:spacing w:after="0" w:line="240" w:lineRule="auto"/>
      </w:pPr>
      <w:r>
        <w:separator/>
      </w:r>
    </w:p>
  </w:endnote>
  <w:endnote w:type="continuationSeparator" w:id="0">
    <w:p w14:paraId="231E5A62" w14:textId="77777777" w:rsidR="00C80763" w:rsidRDefault="00C80763" w:rsidP="00E3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8A4F8" w14:textId="4C53B983" w:rsidR="002D237F" w:rsidRDefault="002D237F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B3C34C4" wp14:editId="6FA0852A">
          <wp:simplePos x="0" y="0"/>
          <wp:positionH relativeFrom="page">
            <wp:align>center</wp:align>
          </wp:positionH>
          <wp:positionV relativeFrom="paragraph">
            <wp:posOffset>38545</wp:posOffset>
          </wp:positionV>
          <wp:extent cx="7851600" cy="14400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16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B4061E" w14:textId="5D637A32" w:rsidR="00E309D0" w:rsidRDefault="00E30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F9578" w14:textId="77777777" w:rsidR="00C80763" w:rsidRDefault="00C80763" w:rsidP="00E309D0">
      <w:pPr>
        <w:spacing w:after="0" w:line="240" w:lineRule="auto"/>
      </w:pPr>
      <w:r>
        <w:separator/>
      </w:r>
    </w:p>
  </w:footnote>
  <w:footnote w:type="continuationSeparator" w:id="0">
    <w:p w14:paraId="121197E4" w14:textId="77777777" w:rsidR="00C80763" w:rsidRDefault="00C80763" w:rsidP="00E3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90641" w14:textId="5945C53F" w:rsidR="00E309D0" w:rsidRDefault="00E309D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2A14B153" wp14:editId="65CFE5DB">
          <wp:simplePos x="0" y="0"/>
          <wp:positionH relativeFrom="margin">
            <wp:align>center</wp:align>
          </wp:positionH>
          <wp:positionV relativeFrom="page">
            <wp:posOffset>266700</wp:posOffset>
          </wp:positionV>
          <wp:extent cx="2656800" cy="7344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6800" cy="73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CB3E12" w14:textId="77777777" w:rsidR="00E309D0" w:rsidRDefault="00E30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3215D"/>
    <w:multiLevelType w:val="hybridMultilevel"/>
    <w:tmpl w:val="64AC78D2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E06A7"/>
    <w:multiLevelType w:val="hybridMultilevel"/>
    <w:tmpl w:val="B80422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7485E"/>
    <w:multiLevelType w:val="hybridMultilevel"/>
    <w:tmpl w:val="E646C9B0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8326E"/>
    <w:multiLevelType w:val="hybridMultilevel"/>
    <w:tmpl w:val="D54AF3AE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F6577"/>
    <w:multiLevelType w:val="hybridMultilevel"/>
    <w:tmpl w:val="BE0E9FF6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70BBA"/>
    <w:multiLevelType w:val="hybridMultilevel"/>
    <w:tmpl w:val="22A67B8E"/>
    <w:lvl w:ilvl="0" w:tplc="98B00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6D5AB6"/>
    <w:multiLevelType w:val="hybridMultilevel"/>
    <w:tmpl w:val="A7D41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E1B10"/>
    <w:multiLevelType w:val="multilevel"/>
    <w:tmpl w:val="CEA8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3925F2"/>
    <w:multiLevelType w:val="hybridMultilevel"/>
    <w:tmpl w:val="DEC2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0F"/>
    <w:rsid w:val="000B449A"/>
    <w:rsid w:val="002D237F"/>
    <w:rsid w:val="0043740F"/>
    <w:rsid w:val="005501AE"/>
    <w:rsid w:val="008D5B40"/>
    <w:rsid w:val="00B23971"/>
    <w:rsid w:val="00B67A84"/>
    <w:rsid w:val="00C80763"/>
    <w:rsid w:val="00D44369"/>
    <w:rsid w:val="00E309D0"/>
    <w:rsid w:val="00F8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92647"/>
  <w15:chartTrackingRefBased/>
  <w15:docId w15:val="{23AEF152-7DA7-475B-A0EE-74679F75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4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9D0"/>
  </w:style>
  <w:style w:type="paragraph" w:styleId="Stopka">
    <w:name w:val="footer"/>
    <w:basedOn w:val="Normalny"/>
    <w:link w:val="StopkaZnak"/>
    <w:uiPriority w:val="99"/>
    <w:unhideWhenUsed/>
    <w:rsid w:val="00E309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9D0"/>
  </w:style>
  <w:style w:type="character" w:styleId="Hipercze">
    <w:name w:val="Hyperlink"/>
    <w:basedOn w:val="Domylnaczcionkaakapitu"/>
    <w:uiPriority w:val="99"/>
    <w:unhideWhenUsed/>
    <w:rsid w:val="000B44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ziesiat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zedstawiciel@dziesiat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dziesiatk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55204-72D4-42D4-97C6-506E1E83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izabela.pekacz</dc:creator>
  <cp:keywords/>
  <dc:description/>
  <cp:lastModifiedBy>user1</cp:lastModifiedBy>
  <cp:revision>2</cp:revision>
  <dcterms:created xsi:type="dcterms:W3CDTF">2020-06-15T11:28:00Z</dcterms:created>
  <dcterms:modified xsi:type="dcterms:W3CDTF">2020-06-15T11:28:00Z</dcterms:modified>
</cp:coreProperties>
</file>